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45" w:rsidRPr="00954A81" w:rsidRDefault="005C054A" w:rsidP="00390414">
      <w:pPr>
        <w:ind w:left="5245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bookmarkStart w:id="0" w:name="sub_17000"/>
      <w:bookmarkStart w:id="1" w:name="_GoBack"/>
      <w:bookmarkEnd w:id="1"/>
      <w:r>
        <w:rPr>
          <w:b/>
          <w:bCs/>
          <w:color w:val="22272F"/>
          <w:sz w:val="20"/>
          <w:szCs w:val="20"/>
          <w:shd w:val="clear" w:color="auto" w:fill="FFFFFF"/>
        </w:rPr>
        <w:t>Приложение N 17</w:t>
      </w:r>
      <w:r>
        <w:rPr>
          <w:b/>
          <w:bCs/>
          <w:color w:val="22272F"/>
          <w:sz w:val="20"/>
          <w:szCs w:val="20"/>
        </w:rPr>
        <w:br/>
      </w:r>
      <w:r>
        <w:rPr>
          <w:b/>
          <w:bCs/>
          <w:color w:val="22272F"/>
          <w:sz w:val="20"/>
          <w:szCs w:val="20"/>
          <w:shd w:val="clear" w:color="auto" w:fill="FFFFFF"/>
        </w:rPr>
        <w:t>к </w:t>
      </w:r>
      <w:hyperlink r:id="rId4" w:anchor="/document/187740/entry/4000" w:history="1">
        <w:r>
          <w:rPr>
            <w:rStyle w:val="a6"/>
            <w:b/>
            <w:bCs/>
            <w:color w:val="3272C0"/>
            <w:sz w:val="20"/>
            <w:szCs w:val="20"/>
            <w:shd w:val="clear" w:color="auto" w:fill="FFFFFF"/>
          </w:rPr>
          <w:t>Правилам</w:t>
        </w:r>
      </w:hyperlink>
      <w:r>
        <w:rPr>
          <w:b/>
          <w:bCs/>
          <w:color w:val="22272F"/>
          <w:sz w:val="20"/>
          <w:szCs w:val="20"/>
          <w:shd w:val="clear" w:color="auto" w:fill="FFFFFF"/>
        </w:rPr>
        <w:t> технологического</w:t>
      </w:r>
      <w:r>
        <w:rPr>
          <w:b/>
          <w:bCs/>
          <w:color w:val="22272F"/>
          <w:sz w:val="20"/>
          <w:szCs w:val="20"/>
        </w:rPr>
        <w:br/>
      </w:r>
      <w:r>
        <w:rPr>
          <w:b/>
          <w:bCs/>
          <w:color w:val="22272F"/>
          <w:sz w:val="20"/>
          <w:szCs w:val="20"/>
          <w:shd w:val="clear" w:color="auto" w:fill="FFFFFF"/>
        </w:rPr>
        <w:t>присоединения энергопринимающих</w:t>
      </w:r>
      <w:r>
        <w:rPr>
          <w:b/>
          <w:bCs/>
          <w:color w:val="22272F"/>
          <w:sz w:val="20"/>
          <w:szCs w:val="20"/>
        </w:rPr>
        <w:br/>
      </w:r>
      <w:r>
        <w:rPr>
          <w:b/>
          <w:bCs/>
          <w:color w:val="22272F"/>
          <w:sz w:val="20"/>
          <w:szCs w:val="20"/>
          <w:shd w:val="clear" w:color="auto" w:fill="FFFFFF"/>
        </w:rPr>
        <w:t>устройств потребителей электрической</w:t>
      </w:r>
      <w:r>
        <w:rPr>
          <w:b/>
          <w:bCs/>
          <w:color w:val="22272F"/>
          <w:sz w:val="20"/>
          <w:szCs w:val="20"/>
        </w:rPr>
        <w:br/>
      </w:r>
      <w:r>
        <w:rPr>
          <w:b/>
          <w:bCs/>
          <w:color w:val="22272F"/>
          <w:sz w:val="20"/>
          <w:szCs w:val="20"/>
          <w:shd w:val="clear" w:color="auto" w:fill="FFFFFF"/>
        </w:rPr>
        <w:t>энергии, объектов по производству</w:t>
      </w:r>
      <w:r>
        <w:rPr>
          <w:b/>
          <w:bCs/>
          <w:color w:val="22272F"/>
          <w:sz w:val="20"/>
          <w:szCs w:val="20"/>
        </w:rPr>
        <w:br/>
      </w:r>
      <w:r>
        <w:rPr>
          <w:b/>
          <w:bCs/>
          <w:color w:val="22272F"/>
          <w:sz w:val="20"/>
          <w:szCs w:val="20"/>
          <w:shd w:val="clear" w:color="auto" w:fill="FFFFFF"/>
        </w:rPr>
        <w:t>электрической энергии, а также</w:t>
      </w:r>
      <w:r>
        <w:rPr>
          <w:b/>
          <w:bCs/>
          <w:color w:val="22272F"/>
          <w:sz w:val="20"/>
          <w:szCs w:val="20"/>
        </w:rPr>
        <w:br/>
      </w:r>
      <w:r>
        <w:rPr>
          <w:b/>
          <w:bCs/>
          <w:color w:val="22272F"/>
          <w:sz w:val="20"/>
          <w:szCs w:val="20"/>
          <w:shd w:val="clear" w:color="auto" w:fill="FFFFFF"/>
        </w:rPr>
        <w:t>объектов электросетевого хозяйства,</w:t>
      </w:r>
      <w:r>
        <w:rPr>
          <w:b/>
          <w:bCs/>
          <w:color w:val="22272F"/>
          <w:sz w:val="20"/>
          <w:szCs w:val="20"/>
        </w:rPr>
        <w:br/>
      </w:r>
      <w:r>
        <w:rPr>
          <w:b/>
          <w:bCs/>
          <w:color w:val="22272F"/>
          <w:sz w:val="20"/>
          <w:szCs w:val="20"/>
          <w:shd w:val="clear" w:color="auto" w:fill="FFFFFF"/>
        </w:rPr>
        <w:t>принадлежащих сетевым организациям</w:t>
      </w:r>
      <w:r>
        <w:rPr>
          <w:b/>
          <w:bCs/>
          <w:color w:val="22272F"/>
          <w:sz w:val="20"/>
          <w:szCs w:val="20"/>
        </w:rPr>
        <w:br/>
      </w:r>
      <w:r>
        <w:rPr>
          <w:b/>
          <w:bCs/>
          <w:color w:val="22272F"/>
          <w:sz w:val="20"/>
          <w:szCs w:val="20"/>
          <w:shd w:val="clear" w:color="auto" w:fill="FFFFFF"/>
        </w:rPr>
        <w:t>и иным лицам, к электрическим сетям</w:t>
      </w:r>
      <w:r>
        <w:rPr>
          <w:b/>
          <w:bCs/>
          <w:color w:val="22272F"/>
          <w:sz w:val="20"/>
          <w:szCs w:val="20"/>
        </w:rPr>
        <w:br/>
      </w:r>
      <w:r>
        <w:rPr>
          <w:b/>
          <w:bCs/>
          <w:color w:val="22272F"/>
          <w:sz w:val="20"/>
          <w:szCs w:val="20"/>
          <w:shd w:val="clear" w:color="auto" w:fill="FFFFFF"/>
        </w:rPr>
        <w:t>(с изменениями от 4 декабря 2024 г., 20 августа 2025 г.)</w:t>
      </w:r>
    </w:p>
    <w:bookmarkEnd w:id="0"/>
    <w:p w:rsidR="00A4359A" w:rsidRDefault="00A4359A" w:rsidP="00390414">
      <w:pPr>
        <w:pStyle w:val="a5"/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b/>
          <w:color w:val="22272F"/>
        </w:rPr>
      </w:pPr>
      <w:r w:rsidRPr="00A4359A">
        <w:rPr>
          <w:rFonts w:ascii="Courier New" w:eastAsia="Times New Roman" w:hAnsi="Courier New" w:cs="Courier New"/>
          <w:b/>
          <w:bCs/>
          <w:color w:val="22272F"/>
        </w:rPr>
        <w:t>Условия</w:t>
      </w:r>
    </w:p>
    <w:p w:rsid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b/>
          <w:bCs/>
          <w:color w:val="22272F"/>
        </w:rPr>
      </w:pPr>
      <w:r w:rsidRPr="00A4359A">
        <w:rPr>
          <w:rFonts w:ascii="Courier New" w:eastAsia="Times New Roman" w:hAnsi="Courier New" w:cs="Courier New"/>
          <w:b/>
          <w:bCs/>
          <w:color w:val="22272F"/>
        </w:rPr>
        <w:t>типового договора об осуществлении технологического присоединения к</w:t>
      </w:r>
      <w:r>
        <w:rPr>
          <w:rFonts w:ascii="Courier New" w:eastAsia="Times New Roman" w:hAnsi="Courier New" w:cs="Courier New"/>
          <w:b/>
          <w:bCs/>
          <w:color w:val="22272F"/>
        </w:rPr>
        <w:t xml:space="preserve"> </w:t>
      </w:r>
      <w:r w:rsidRPr="00A4359A">
        <w:rPr>
          <w:rFonts w:ascii="Courier New" w:eastAsia="Times New Roman" w:hAnsi="Courier New" w:cs="Courier New"/>
          <w:b/>
          <w:bCs/>
          <w:color w:val="22272F"/>
        </w:rPr>
        <w:t xml:space="preserve">электрическим сетям 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b/>
          <w:bCs/>
          <w:color w:val="22272F"/>
          <w:sz w:val="20"/>
          <w:szCs w:val="20"/>
        </w:rPr>
        <w:t>(в целях технологического присоединения</w:t>
      </w:r>
      <w:r>
        <w:rPr>
          <w:rFonts w:ascii="Courier New" w:eastAsia="Times New Roman" w:hAnsi="Courier New" w:cs="Courier New"/>
          <w:b/>
          <w:bCs/>
          <w:color w:val="22272F"/>
          <w:sz w:val="20"/>
          <w:szCs w:val="20"/>
        </w:rPr>
        <w:t xml:space="preserve"> </w:t>
      </w:r>
      <w:r w:rsidRPr="00A4359A">
        <w:rPr>
          <w:rFonts w:ascii="Courier New" w:eastAsia="Times New Roman" w:hAnsi="Courier New" w:cs="Courier New"/>
          <w:b/>
          <w:bCs/>
          <w:color w:val="22272F"/>
          <w:sz w:val="20"/>
          <w:szCs w:val="20"/>
        </w:rPr>
        <w:t>энергопринимающих устройств, максимальная мощность которых до 670 кВт</w:t>
      </w:r>
      <w:r>
        <w:rPr>
          <w:rFonts w:ascii="Courier New" w:eastAsia="Times New Roman" w:hAnsi="Courier New" w:cs="Courier New"/>
          <w:b/>
          <w:bCs/>
          <w:color w:val="22272F"/>
          <w:sz w:val="20"/>
          <w:szCs w:val="20"/>
        </w:rPr>
        <w:t xml:space="preserve"> </w:t>
      </w:r>
      <w:r w:rsidRPr="00A4359A">
        <w:rPr>
          <w:rFonts w:ascii="Courier New" w:eastAsia="Times New Roman" w:hAnsi="Courier New" w:cs="Courier New"/>
          <w:b/>
          <w:bCs/>
          <w:color w:val="22272F"/>
          <w:sz w:val="20"/>
          <w:szCs w:val="20"/>
        </w:rPr>
        <w:t>включительно)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b/>
          <w:bCs/>
          <w:color w:val="22272F"/>
          <w:sz w:val="17"/>
          <w:szCs w:val="17"/>
        </w:rPr>
        <w:t xml:space="preserve">                           I. Предмет договора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1.  Сетевая  организация  принимает   на   себя     обязательства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осуществлению технологического присоединения энергопринимающих  устройств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заявителя       (далее       -             технологическое присоединение)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_________________________________________________________________________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             (наименование энергопринимающих устройств)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в том числе по обеспечению готовности объектов электросетевого  хозяйства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(включая их проектирование, строительство, реконструкцию) к присоединению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энергопринимающих устройств, урегулированию отношений с третьими лицами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случае   необходимости   строительства   (модернизации)     такими лицами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принадлежащих им объектов  электросетевого  хозяйства  (энергопринимающих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устройств, объектов электроэнергетики), с учетом следующих характеристик: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максимальная  мощность  присоединяемых  энергопринимающих  устройств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______ (кВт);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категория надежности ______;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класс  напряжения  электрических  сетей,  к  которым  осуществляется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технологическое присоединение _____ (кВ);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максимальная   мощность   ранее   присоединенных   энергопринимающих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устройств _____ кВт.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Заявитель   обязуется   оплатить    расходы    на    технологическое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присоединение  в  соответствии  с  условиями  договора  об  осуществлении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технологического присоединения к электрическим сетям (далее  -  договор).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Сетевая организация и заявитель  являются  сторонами  договора   (далее -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стороны).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2. Технологическое  присоединение  необходимо  для  электроснабжения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________________________________________________________________________,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                 (наименование объектов заявителя)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расположенных (которые будут располагаться) ____________________________.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                               (место нахождения объектов заявителя)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3. Точка (точки) присоединения указана в  технических  условиях  для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присоединения к электрическим  сетям  (далее  -  технические   условия) 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располагается на расстоянии _______ метров от границы участка  заявителя,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на котором располагаются  (будут  располагаться)  присоединяемые  объекты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заявителя.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4. Технические условия являются неотъемлемой частью договора.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Срок действия технических условий  составляет  ____________  со  дня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заключения настоящего договора.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5. Срок выполнения  мероприятий  по  технологическому  присоединению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составляет ___________ со дня заключения договора.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b/>
          <w:bCs/>
          <w:color w:val="22272F"/>
          <w:sz w:val="17"/>
          <w:szCs w:val="17"/>
        </w:rPr>
        <w:t xml:space="preserve">                         II. Обязанности сторон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6. Сетевая организация обязуется: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надлежащим образом исполнить обязательства по настоящему договору,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том числе по выполнению возложенных на сетевую организацию мероприятий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технологическому присоединению до точки  присоединения  энергопринимающих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устройств заявителя, а также урегулировать отношения с третьими лицами до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границ участка, на котором расположены  присоединяемые  энергопринимающие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устройства заявителя, указанные в технических условиях;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в течение _____ рабочих дней со дня уведомления  заявителем  сетевой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организации о выполнении  им  технических  условий  осуществить  проверку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выполнения технических условий заявителем, провести с участием  заявителя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lastRenderedPageBreak/>
        <w:t>осмотр   (обследование)   присоединяемых   энергопринимающих    устройств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максимальной мощностью не  более 150 кВт    включительно    заявителя (за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исключением   случаев   осуществления   технологического    присоединения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энергопринимающих устройств максимальной мощностью не более 150 кВт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включительно на уровне напряжения 0,4  кВ  и ниже);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принять   участие    в   осмотре    (обследовании)    присоединяемых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энергопринимающих   устройств   заявителя   должностным   лицом    органа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федерального государственного энергетического надзора</w:t>
      </w:r>
      <w:hyperlink r:id="rId5" w:anchor="/document/187740/entry/17111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*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не позднее ___ рабочих  дней   со   дня уведомления   заявителем   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получении разрешения органа федерального государственного энергетического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надзора   в  соответствии  с  </w:t>
      </w:r>
      <w:hyperlink r:id="rId6" w:anchor="/document/400258929/entry/1000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Правилами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выдачи  разрешений  на  допуск 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эксплуатацию   энергопринимающих  установок  потребителей   электрической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энергии,   объектов  по  производству  электрической  энергии,   объектов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электросетевого  хозяйства,  объектов  теплоснабжения и теплопотребляющих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установок,    утвержденными   </w:t>
      </w:r>
      <w:hyperlink r:id="rId7" w:anchor="/document/400258929/entry/0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постановлением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Правительства   Российской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Федерации   от   30 января 2021 г.   N 85 "Об утверждении  Правил  выдачи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разрешений   на   допуск   в эксплуатацию   энергопринимающих   установок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потребителей   электрической   энергии,    объектов    по    производству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электрической  энергии,  объектов электросетевого   хозяйства,   объектов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теплоснабжения   и теплопотребляющих   установок и о внесении изменений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некоторые   акты   Правительства   Российской   Федерации",   на допуск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эксплуатацию   объектов   заявителя  с соблюдением  срока, установленного</w:t>
      </w:r>
    </w:p>
    <w:p w:rsidR="00A4359A" w:rsidRPr="00A4359A" w:rsidRDefault="006A72A0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hyperlink r:id="rId8" w:anchor="/document/187740/entry/17005" w:history="1">
        <w:r w:rsidR="00A4359A"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пунктом 5</w:t>
        </w:r>
      </w:hyperlink>
      <w:r w:rsidR="00A4359A"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договора,      осуществить     фактическое     присоединение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энергопринимающих   устройств    заявителя    к    электрическим   сетям,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фактический  прием (подачу)  напряжения и мощности, составить при участии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заявителя  и в форме электронного документа разместить в личном  кабинете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заявителя    акт  об   осуществлении    технологического   присоединения,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подписанный    усиленной     квалифицированной    </w:t>
      </w:r>
      <w:hyperlink r:id="rId9" w:anchor="/document/12184522/entry/21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электронной    подписью</w:t>
        </w:r>
      </w:hyperlink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уполномоченного лица сетевой организации</w:t>
      </w:r>
      <w:hyperlink r:id="rId10" w:anchor="/document/187740/entry/17111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*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не  позднее  _______  рабочих  дней  со   дня     проведения осмотра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(обследования),  указанного  в  </w:t>
      </w:r>
      <w:hyperlink r:id="rId11" w:anchor="/document/187740/entry/17063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абзаце  третьем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настоящего     пункта, с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соблюдением  срока,  установленного  </w:t>
      </w:r>
      <w:hyperlink r:id="rId12" w:anchor="/document/187740/entry/17005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пунктом   5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настоящего   договора,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осуществить   фактическое   присоединение   энергопринимающих   устройств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заявителя к электрическим сетям, фактический прием (подачу) напряжения  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мощности,  составить  при  участии   заявителя   акт   об   осуществлении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технологического присоединения и направить его заявителю (за  исключением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случаев осуществления  технологического  присоединения  энергопринимающих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устройств на уровне напряжения 0,4 кВ и ниже).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В    случае     осуществления     технологического     присоединения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энергопринимающих устройств максимальной мощностью не более 150 кВт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включительно на уровне напряжения 0,4 кВ  и  ниже  сетевая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организация составляет в  форме  электронного  документа  и   размещает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личном кабинете заявителя уведомление об обеспечении сетевой организацией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возможности присоединения к электрическим  сетям,  подписанное  усиленной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квалифицированной  </w:t>
      </w:r>
      <w:hyperlink r:id="rId13" w:anchor="/document/12184522/entry/21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электронной  подписью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уполномоченного  лица   сетевой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организации, в течение одного рабочего  дня  со  дня  выполнения  сетевой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организацией   мероприятий,   предусмотренных   техническими   условиями,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отнесенных к обязанностям сетевой организации.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7.  Сетевая  организация  при  невыполнении  заявителем  технических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условий в согласованный  срок  и  наличии  на  дату  окончания   срока 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действия технической возможности технологического присоединения вправе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обращению заявителя продлить срок действия технических условий. При  этом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дополнительная плата не взимается.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8. Заявитель обязуется: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надлежащим образом исполнить обязательства по настоящему договору,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том  числе  по  выполнению  возложенных  на  заявителя     мероприятий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технологическому присоединению до точки  присоединения  энергопринимающих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устройств заявителя, указанной в  технических  условиях,  за  исключением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урегулирования отношений с третьими лицами до границ участка, на  котором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расположены  присоединяемые   энергопринимающие   устройства   заявителя,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указанные в технических условиях;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в    случае     осуществления     технологического     присоединения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энергопринимающих устройств  на  уровне  напряжения  выше  0,4   кВ после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выполнения  мероприятий  по  технологическому  присоединению     до точки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присоединения  энергопринимающих   устройств   заявителя,     указанной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технических  условиях,  уведомить  сетевую   организацию   о   выполнении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технических условий и представить копии разделов проектной  документации,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предусматривающих   технические   решения,   обеспечивающие    выполнение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технических  условий,   в   том   числе   решения   по     схеме внешнего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электроснабжения  (схеме  выдачи  мощности   объектов   по   производству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электрической энергии), релейной  защите  и  автоматике,   телемеханике 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связи, в случае если такая проектная документация  не  была  представлена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заявителем в сетевую организацию  до  направления  заявителем  в  сетевую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организацию  уведомления  о  выполнении  технических  условий     (если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соответствии с </w:t>
      </w:r>
      <w:hyperlink r:id="rId14" w:anchor="/document/12138258/entry/3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законодательством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Российской Федерации о градостроительной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lastRenderedPageBreak/>
        <w:t>деятельности разработка проектной документации является обязательной);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принять   участие   в    осмотре    (обследовании)    присоединяемых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энергопринимающих устройств сетевой организацией (в случае  осуществления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технологического  присоединения  энергопринимающих  устройств  на  уровне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напряжения выше 0,4 кВ);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после осуществления сетевой организацией фактического  присоединения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энергопринимающих устройств заявителя к электрическим сетям, фактического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приема (подачи) напряжения и  мощности  подписать  акт  об  осуществлении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технологического присоединения либо представить мотивированный  отказ  от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подписания в течение ______ рабочих дней со дня получения указанного акта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от  сетевой  организации,  а  в  случае  осуществления   технологического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присоединения энергопринимающих устройств максимальной мощностью до 150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кВт включительно на уровне напряжения 0,4  кВ  и ниже - рассмотреть и при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наличии  замечаний  представить   замечания к уведомлению об обеспечении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сетевой организацией возможности присоединения к электрическим сетям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не  позднее  20  рабочих  дней  со  дня  получения уведомления от сетевой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организации о составлении и  размещении  в  личном кабинете  заявителя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уведомления об обеспечении сетевой организацией возможности присоединения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к электрическим сетям;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надлежащим образом исполнять  указанные  в  </w:t>
      </w:r>
      <w:hyperlink r:id="rId15" w:anchor="/document/187740/entry/17300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разделе  III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настоящего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договора   обязательства   по   оплате   расходов   на    технологическое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присоединение;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уведомить сетевую организацию о направлении заявок  в  иные  сетевые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организации   при   технологическом    присоединении    энергопринимающих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устройств,  в  отношении   которых   применяется   категория   надежности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электроснабжения, предусматривающая использование 2  и  более  источников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электроснабжения.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9. Заявитель  вправе  при  невыполнении  им  технических   условий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согласованный  срок  и  наличии  на  дату  окончания  срока  их  действия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технической  возможности  технологического  присоединения    обратиться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сетевую организацию с просьбой о  продлении  срока  действия  технических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условий.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b/>
          <w:bCs/>
          <w:color w:val="22272F"/>
          <w:sz w:val="17"/>
          <w:szCs w:val="17"/>
        </w:rPr>
        <w:t xml:space="preserve">     III. Плата за технологическое присоединение и порядок расчетов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10. Размер платы за технологическое присоединение   определяется  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соответствии с решением _________________________________________________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                (наименование органа исполнительной власти в области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                      государственного регулирования тарифов)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от __________ N _______ и составляет ___________ рублей _________ копеек.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11. Внесение платы за технологическое  присоединение  осуществляется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заявителем  в   порядке,   предусмотренном   </w:t>
      </w:r>
      <w:hyperlink r:id="rId16" w:anchor="/document/187740/entry/4000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Правилами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технологического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присоединения  энергопринимающих  устройств  потребителей   электрической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энергии, объектов по производству электрической энергии, а также объектов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электросетевого хозяйства,  принадлежащих  сетевым  организациям  и  иным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лицам, к электрическим сетям, утвержденными </w:t>
      </w:r>
      <w:hyperlink r:id="rId17" w:anchor="/document/187740/entry/0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постановлением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Правительства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Российской Федерации от 27 декабря 2004 г. N 861 "Об  утверждении  Правил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недискриминационного доступа к услугам по передаче электрической  энергии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и оказания этих услуг, Правил недискриминационного доступа к  услугам 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оперативно-диспетчерскому управлению в электроэнергетике и оказания  этих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услуг,  Правил  недискриминационного  доступа  к  услугам  администратора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торговой  системы  оптового  рынка  и  оказания  этих  услуг   и   Правил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технологического присоединения энергопринимающих  устройств  потребителей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электрической энергии, объектов по производству электрической энергии,  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также   объектов   электросетевого   хозяйства,     принадлежащих сетевым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организациям и иным лицам, к электрическим сетям".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12. Датой исполнения обязательства заявителя по оплате  расходов  на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технологическое присоединение считается дата внесения денежных средств 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кассу или на расчетный счет сетевой организации.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b/>
          <w:bCs/>
          <w:color w:val="22272F"/>
          <w:sz w:val="17"/>
          <w:szCs w:val="17"/>
        </w:rPr>
        <w:t xml:space="preserve">    IV. Разграничение балансовой принадлежности электрических сетей 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b/>
          <w:bCs/>
          <w:color w:val="22272F"/>
          <w:sz w:val="17"/>
          <w:szCs w:val="17"/>
        </w:rPr>
        <w:t xml:space="preserve">                 эксплуатационной ответственности сторон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13. Заявитель несет балансовую и эксплуатационную ответственность до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точки присоединения энергопринимающих устройств заявителя.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b/>
          <w:bCs/>
          <w:color w:val="22272F"/>
          <w:sz w:val="17"/>
          <w:szCs w:val="17"/>
        </w:rPr>
        <w:t xml:space="preserve">   V. Условия изменения, расторжения договора и ответственность сторон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14. Настоящий договор может быть изменен по  письменному  соглашению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сторон или в судебном порядке.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15. Договор может быть расторгнут по требованию одной из  сторон 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основаниям, предусмотренным </w:t>
      </w:r>
      <w:hyperlink r:id="rId18" w:anchor="/document/10164072/entry/1029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Гражданским кодексом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Российской Федерации.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16. Заявитель вправе при нарушении сетевой организацией указанных 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договоре сроков технологического присоединения  в  одностороннем  порядке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расторгнуть договор.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lastRenderedPageBreak/>
        <w:t xml:space="preserve">     Нарушение заявителем установленного  договором  срока  осуществления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мероприятий  по   технологическому   присоединению   (если   техническими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условиями  предусмотрен  поэтапный  ввод   в   работу   энергопринимающих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устройств, - мероприятий, предусмотренных очередным этапом) на 12 и более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месяцев при условии, что сетевой организацией в полном  объеме  выполнены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мероприятия  по  технологическому   присоединению   по     договору, срок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осуществления которых по договору наступает ранее указанного  нарушенного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заявителем   срока   осуществления   мероприятий   по    технологическому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присоединению, может  служить  основанием  для  расторжения   договора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требованию сетевой организации по решению суда.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17.  Сторона,   нарушившая   срок   осуществления     мероприятий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технологическому  присоединению,   предусмотренный   договором,   обязана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уплатить другой стороне неустойку, равную 0,25 процента указанного общего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размера платы за каждый день просрочки (за исключением случаев  нарушения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выполнения технических условий заявителями, технологическое присоединение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энергопринимающих устройств которых осуществляется на  уровне  напряжения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0,4 кВ и ниже). При этом совокупный размер такой неустойки при  нарушении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срока  осуществления  мероприятий   по   технологическому   присоединению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заявителем  не  может  превышать   размер   неустойки,     определенный в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предусмотренном настоящим абзацем порядке, за год просрочки.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Сторона,    нарушившая    срок    осуществления       мероприятий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технологическому  присоединению,   предусмотренный   договором,   обязана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уплатить  понесенные  другой  стороной  договора   расходы   в   размере,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определенном в судебном акте, связанные с необходимостью  принудительного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взыскания неустойки, предусмотренной </w:t>
      </w:r>
      <w:hyperlink r:id="rId19" w:anchor="/document/187740/entry/17017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абзацем первым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или вторым настоящего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пункта, в случае необоснованного уклонения либо отказа от ее уплаты.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18. За неисполнение  или  ненадлежащее  исполнение   обязательств по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договору стороны несут ответственность в соответствии с </w:t>
      </w:r>
      <w:hyperlink r:id="rId20" w:anchor="/document/10164072/entry/1025" w:history="1">
        <w:r w:rsidRPr="00A4359A">
          <w:rPr>
            <w:rFonts w:ascii="Courier New" w:eastAsia="Times New Roman" w:hAnsi="Courier New" w:cs="Courier New"/>
            <w:color w:val="3272C0"/>
            <w:sz w:val="17"/>
            <w:szCs w:val="17"/>
            <w:u w:val="single"/>
          </w:rPr>
          <w:t>законодательством</w:t>
        </w:r>
      </w:hyperlink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Российской Федерации.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19. Стороны освобождаются от ответственности за частичное или полное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неисполнение  обязательств  по  договору,  если  оно  явилось  следствием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обстоятельств непреодолимой силы, возникших  после  подписания  сторонами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договора  и  оказывающих  непосредственное  воздействие   на   выполнение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сторонами обязательств по договору.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b/>
          <w:bCs/>
          <w:color w:val="22272F"/>
          <w:sz w:val="17"/>
          <w:szCs w:val="17"/>
        </w:rPr>
        <w:t xml:space="preserve">                      VI. Порядок разрешения споров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20. Споры, которые могут  возникнуть  при  исполнении,   изменении и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расторжении   договора,    стороны    разрешают    в       соответствии с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законодательством Российской Федерации.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b/>
          <w:bCs/>
          <w:color w:val="22272F"/>
          <w:sz w:val="17"/>
          <w:szCs w:val="17"/>
        </w:rPr>
        <w:t xml:space="preserve">                      VII. Заключительные положения</w:t>
      </w:r>
    </w:p>
    <w:p w:rsidR="00A4359A" w:rsidRPr="00A4359A" w:rsidRDefault="00A4359A" w:rsidP="00A4359A">
      <w:pPr>
        <w:widowControl/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 xml:space="preserve">     21. Договор считается заключенным со дня оплаты заявителем счета  на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оплату технологического присоединения по договору.</w:t>
      </w:r>
    </w:p>
    <w:p w:rsidR="00A4359A" w:rsidRPr="00A4359A" w:rsidRDefault="00A4359A" w:rsidP="00F40D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426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22. Утратил силу с 12 декабря 2024 г. - </w:t>
      </w:r>
      <w:hyperlink r:id="rId21" w:anchor="/document/411049126/entry/1003" w:history="1">
        <w:r w:rsidRPr="00F40D4A">
          <w:rPr>
            <w:rFonts w:ascii="Courier New" w:eastAsia="Times New Roman" w:hAnsi="Courier New" w:cs="Courier New"/>
            <w:color w:val="22272F"/>
            <w:sz w:val="17"/>
            <w:szCs w:val="17"/>
          </w:rPr>
          <w:t>Постановление</w:t>
        </w:r>
      </w:hyperlink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 Правительства России от 4 декабря 2024 г. N 1709</w:t>
      </w:r>
    </w:p>
    <w:p w:rsidR="00A4359A" w:rsidRPr="00A4359A" w:rsidRDefault="00A4359A" w:rsidP="00A435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Courier New" w:eastAsia="Times New Roman" w:hAnsi="Courier New" w:cs="Courier New"/>
          <w:color w:val="22272F"/>
          <w:sz w:val="17"/>
          <w:szCs w:val="17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──────────────────────────────</w:t>
      </w:r>
    </w:p>
    <w:p w:rsidR="00A4359A" w:rsidRPr="00A4359A" w:rsidRDefault="00A4359A" w:rsidP="00A4359A">
      <w:pPr>
        <w:widowControl/>
        <w:autoSpaceDE/>
        <w:autoSpaceDN/>
        <w:adjustRightInd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A4359A">
        <w:rPr>
          <w:rFonts w:ascii="Times New Roman" w:eastAsia="Times New Roman" w:hAnsi="Times New Roman" w:cs="Times New Roman"/>
          <w:color w:val="22272F"/>
          <w:sz w:val="19"/>
          <w:szCs w:val="19"/>
        </w:rPr>
        <w:t>* Включается в договор в случае осуществления технологического присоединения объектов, для которых в соответствии с </w:t>
      </w:r>
      <w:hyperlink r:id="rId22" w:anchor="/document/187740/entry/4000" w:history="1">
        <w:r w:rsidRPr="00A4359A">
          <w:rPr>
            <w:rFonts w:ascii="Times New Roman" w:eastAsia="Times New Roman" w:hAnsi="Times New Roman" w:cs="Times New Roman"/>
            <w:color w:val="3272C0"/>
            <w:sz w:val="19"/>
            <w:szCs w:val="19"/>
            <w:u w:val="single"/>
          </w:rPr>
          <w:t>Правилами</w:t>
        </w:r>
      </w:hyperlink>
      <w:r w:rsidRPr="00A4359A">
        <w:rPr>
          <w:rFonts w:ascii="Times New Roman" w:eastAsia="Times New Roman" w:hAnsi="Times New Roman" w:cs="Times New Roman"/>
          <w:color w:val="22272F"/>
          <w:sz w:val="19"/>
          <w:szCs w:val="19"/>
        </w:rPr>
        <w:t> 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 </w:t>
      </w:r>
      <w:hyperlink r:id="rId23" w:anchor="/document/187740/entry/0" w:history="1">
        <w:r w:rsidRPr="00A4359A">
          <w:rPr>
            <w:rFonts w:ascii="Times New Roman" w:eastAsia="Times New Roman" w:hAnsi="Times New Roman" w:cs="Times New Roman"/>
            <w:color w:val="3272C0"/>
            <w:sz w:val="19"/>
            <w:szCs w:val="19"/>
            <w:u w:val="single"/>
          </w:rPr>
          <w:t>постановлением</w:t>
        </w:r>
      </w:hyperlink>
      <w:r w:rsidRPr="00A4359A">
        <w:rPr>
          <w:rFonts w:ascii="Times New Roman" w:eastAsia="Times New Roman" w:hAnsi="Times New Roman" w:cs="Times New Roman"/>
          <w:color w:val="22272F"/>
          <w:sz w:val="19"/>
          <w:szCs w:val="19"/>
        </w:rPr>
        <w:t> Правительства Российской Федерации от 27 декабря 2004 г. N 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устройства.</w:t>
      </w:r>
    </w:p>
    <w:p w:rsidR="00A4359A" w:rsidRDefault="00A4359A" w:rsidP="00F40D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Style w:val="a3"/>
          <w:rFonts w:ascii="Times New Roman" w:hAnsi="Times New Roman" w:cs="Times New Roman"/>
          <w:sz w:val="22"/>
          <w:szCs w:val="22"/>
        </w:rPr>
      </w:pPr>
      <w:r w:rsidRPr="00A4359A">
        <w:rPr>
          <w:rFonts w:ascii="Courier New" w:eastAsia="Times New Roman" w:hAnsi="Courier New" w:cs="Courier New"/>
          <w:color w:val="22272F"/>
          <w:sz w:val="17"/>
          <w:szCs w:val="17"/>
        </w:rPr>
        <w:t>──────────────────────────────</w:t>
      </w:r>
    </w:p>
    <w:sectPr w:rsidR="00A4359A" w:rsidSect="003B61A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45"/>
    <w:rsid w:val="000357E4"/>
    <w:rsid w:val="00080CD7"/>
    <w:rsid w:val="000878C7"/>
    <w:rsid w:val="00300087"/>
    <w:rsid w:val="00390414"/>
    <w:rsid w:val="003B61A8"/>
    <w:rsid w:val="005C054A"/>
    <w:rsid w:val="006A72A0"/>
    <w:rsid w:val="00805814"/>
    <w:rsid w:val="00883F1F"/>
    <w:rsid w:val="00954A81"/>
    <w:rsid w:val="00A4359A"/>
    <w:rsid w:val="00D36B45"/>
    <w:rsid w:val="00F40D4A"/>
    <w:rsid w:val="00F448B4"/>
    <w:rsid w:val="00FC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F2DBA-602B-4241-ACF7-4921587E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B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36B4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36B45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D36B45"/>
    <w:pPr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954A8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054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35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35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4359A"/>
  </w:style>
  <w:style w:type="paragraph" w:customStyle="1" w:styleId="empty">
    <w:name w:val="empty"/>
    <w:basedOn w:val="a"/>
    <w:rsid w:val="00A435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A435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91">
    <w:name w:val="s_91"/>
    <w:basedOn w:val="a"/>
    <w:rsid w:val="00A435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Циома Александр Леонидович</dc:creator>
  <cp:keywords/>
  <dc:description/>
  <cp:lastModifiedBy>Тригер Екатерина Владимировна</cp:lastModifiedBy>
  <cp:revision>16</cp:revision>
  <dcterms:created xsi:type="dcterms:W3CDTF">2022-08-19T09:16:00Z</dcterms:created>
  <dcterms:modified xsi:type="dcterms:W3CDTF">2026-03-02T08:42:00Z</dcterms:modified>
</cp:coreProperties>
</file>